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202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30"/>
          <w:szCs w:val="30"/>
        </w:rPr>
        <w:t>-202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/>
          <w:sz w:val="30"/>
          <w:szCs w:val="30"/>
        </w:rPr>
        <w:t>学年课程情况</w:t>
      </w:r>
    </w:p>
    <w:p>
      <w:pPr>
        <w:ind w:firstLine="600" w:firstLineChars="200"/>
        <w:jc w:val="left"/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2023-2024学年，</w:t>
      </w:r>
      <w:r>
        <w:rPr>
          <w:rFonts w:hint="eastAsia" w:ascii="仿宋" w:hAnsi="仿宋" w:eastAsia="仿宋" w:cs="仿宋"/>
          <w:sz w:val="30"/>
          <w:szCs w:val="30"/>
        </w:rPr>
        <w:t>全校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共计</w:t>
      </w:r>
      <w:r>
        <w:rPr>
          <w:rFonts w:hint="eastAsia" w:ascii="仿宋" w:hAnsi="仿宋" w:eastAsia="仿宋" w:cs="仿宋"/>
          <w:sz w:val="30"/>
          <w:szCs w:val="30"/>
        </w:rPr>
        <w:t>开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出</w:t>
      </w:r>
      <w:r>
        <w:rPr>
          <w:rFonts w:hint="eastAsia" w:ascii="仿宋" w:hAnsi="仿宋" w:eastAsia="仿宋" w:cs="仿宋"/>
          <w:sz w:val="30"/>
          <w:szCs w:val="30"/>
        </w:rPr>
        <w:t>课程总门数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2254</w:t>
      </w:r>
      <w:r>
        <w:rPr>
          <w:rFonts w:hint="eastAsia" w:ascii="仿宋" w:hAnsi="仿宋" w:eastAsia="仿宋" w:cs="仿宋"/>
          <w:sz w:val="30"/>
          <w:szCs w:val="30"/>
        </w:rPr>
        <w:t>门。选修课学分占总学分比例（按学科门类、专业）（按学科门类统计参见表）</w:t>
      </w:r>
    </w:p>
    <w:tbl>
      <w:tblPr>
        <w:tblStyle w:val="4"/>
        <w:tblW w:w="10380" w:type="dxa"/>
        <w:tblInd w:w="-88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1246"/>
        <w:gridCol w:w="663"/>
        <w:gridCol w:w="1034"/>
        <w:gridCol w:w="876"/>
        <w:gridCol w:w="876"/>
        <w:gridCol w:w="876"/>
        <w:gridCol w:w="1033"/>
        <w:gridCol w:w="1341"/>
        <w:gridCol w:w="13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380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附表 各专业人才培养方案学时、学分情况（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版）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专业代码</w:t>
            </w:r>
          </w:p>
        </w:tc>
        <w:tc>
          <w:tcPr>
            <w:tcW w:w="124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专业名称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36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学时数</w:t>
            </w:r>
          </w:p>
        </w:tc>
        <w:tc>
          <w:tcPr>
            <w:tcW w:w="371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6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总数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其中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其中</w:t>
            </w:r>
          </w:p>
        </w:tc>
        <w:tc>
          <w:tcPr>
            <w:tcW w:w="10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总数</w:t>
            </w:r>
          </w:p>
        </w:tc>
        <w:tc>
          <w:tcPr>
            <w:tcW w:w="26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其中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4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6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必修课占比（%）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选修课占比（%）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理论教学占比（%）</w:t>
            </w:r>
          </w:p>
        </w:tc>
        <w:tc>
          <w:tcPr>
            <w:tcW w:w="8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实验教学占比（%）</w:t>
            </w:r>
          </w:p>
        </w:tc>
        <w:tc>
          <w:tcPr>
            <w:tcW w:w="10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必修课占比（%）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选修课占比（%）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080902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2558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83.11%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16.89%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84.91%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15.09%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78.24%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21.76%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080901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2478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83.21%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16.79%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83.45%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16.55%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78.82%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21.18%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080717T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2526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84.80%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15.20%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80.05%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19.95%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80.00%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080905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2462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84.40%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15.60%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78.55%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21.45%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169.5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79.94%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20.06%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080910T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数据科学与大数据技术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2526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83.53%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16.47%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80.52%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19.48%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78.82%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21.18%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080701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2422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82.82%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17.18%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80.84%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19.16%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78.82%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21.18%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080202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2358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82.36%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17.64%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81.09%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18.91%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84.71%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15.29%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080204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2382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82.54%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17.46%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80.18%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19.82%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84.71%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15.29%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080803T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机器人工程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2382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82.54%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17.46%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80.18%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19.82%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84.71%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15.29%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080213T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智能制造工程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2470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83.16%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16.84%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83.40%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16.60%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169.5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84.66%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15.34%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070503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人文地理与城乡规划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82.62%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17.38%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72.89%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27.11%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85.29%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14.71%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081001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2590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77.76%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22.24%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84.25%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15.75%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79.31%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20.69%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082502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2294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83.96%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16.04%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84.22%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15.78%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86.47%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13.53%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120103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2430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84.20%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15.80%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82.47%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17.53%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85.88%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14.12%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120105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2430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84.20%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15.80%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81.15%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18.85%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85.88%</w:t>
            </w:r>
          </w:p>
        </w:tc>
        <w:tc>
          <w:tcPr>
            <w:tcW w:w="13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14.12%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081004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建筑电气与智能化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2446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82.01%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17.99%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82.42%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17.58%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169.5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78.17%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21.83%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120206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2342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78.14%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21.86%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78.14%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21.86%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75.29%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24.71%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120601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2454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83.05%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16.95%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87.94%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12.06%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169.5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78.76%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21.24%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120203K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2294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83.26%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16.74%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78.47%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21.53%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80.00%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120201K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2438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77.69%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22.31%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86.87%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13.13%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80.00%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120204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2270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83.08%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16.92%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76.21%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23.79%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80.00%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20.00%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120202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2374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78.43%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21.57%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79.44%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20.56%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81.18%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18.82%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020401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2326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75.92%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24.08%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82.80%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17.20%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79.53%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20.47%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020303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保险学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2406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76.06%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23.94%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83.46%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16.54%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173.5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79.25%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20.75%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020301K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2374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82.48%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17.52%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80.88%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19.12%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85.06%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14.94%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120801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2358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81.68%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18.32%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80.66%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19.34%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78.24%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21.76%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020304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投资学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2310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80.61%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19.39%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78.96%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21.04%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83.82%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16.18%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020309T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互联网金融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2414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78.13%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21.87%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78.04%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21.96%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75.29%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18.97%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020109T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数字经济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2342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78.82%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21.18%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84.97%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15.03%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75.88%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24.12%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050101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2390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78.58%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21.42%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87.28%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12.72%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165.5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80.66%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19.34%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050306T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网络与新媒体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2286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81.80%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18.20%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70.78%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29.22%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84.71%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15.29%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050201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2470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83.16%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16.84%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75.38%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24.62%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165.5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84.29%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15.71%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050262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2390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82.59%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17.41%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77.91%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22.09%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163.5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84.10%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15.90%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040107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2406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77.39%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22.61%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84.04%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15.96%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164.5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79.33%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20.67%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030101K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法学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2526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78.46%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21.54%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89.47%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10.53%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82.35%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17.65%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120402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2310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83.38%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16.62%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85.80%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14.20%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85.45%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14.55%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030302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2486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80.69%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19.31%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87.45%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12.55%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82.35%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17.65%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130301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表演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2142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80.58%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19.42%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70.87%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29.13%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84.71%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15.29%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130201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2398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82.65%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17.35%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74.81%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25.19%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84.71%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15.29%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130206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2462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83.10%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16.90%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71.08%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28.92%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85.06%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14.94%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130508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数字媒体艺术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2294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80.47%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19.53%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61.81%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38.19%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169.5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83.48%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16.52%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Style w:val="9"/>
                <w:rFonts w:eastAsia="宋体"/>
                <w:color w:val="auto"/>
                <w:lang w:val="en-US" w:eastAsia="zh-CN" w:bidi="ar"/>
              </w:rPr>
              <w:t>130502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2294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79.77%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20.23%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58.15%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41.85%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169.5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76.99%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23.01%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080205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工业设计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2302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79.84%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20.16%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68.03%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31.97%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82.53%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17.47%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130503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2358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81.00%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19.00%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61.83%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38.17%</w:t>
            </w:r>
          </w:p>
        </w:tc>
        <w:tc>
          <w:tcPr>
            <w:tcW w:w="1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173.5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83.86%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16.14%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130504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产品设计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2294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79.77%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20.23%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64.43%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35.57%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169.5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82.89%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17.11%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130511T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新媒体艺术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2571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77.60%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22.40%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57.34%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42.16%</w:t>
            </w:r>
          </w:p>
        </w:tc>
        <w:tc>
          <w:tcPr>
            <w:tcW w:w="1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168.5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78.64%</w:t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21.23%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ODM1YjA4YmU2YWQ4ZWUxNTIyZTE0MTc2MjQ0OGUifQ=="/>
  </w:docVars>
  <w:rsids>
    <w:rsidRoot w:val="2E660676"/>
    <w:rsid w:val="00285DA5"/>
    <w:rsid w:val="0050782A"/>
    <w:rsid w:val="00575EB4"/>
    <w:rsid w:val="007C1DA5"/>
    <w:rsid w:val="00933724"/>
    <w:rsid w:val="00EE68DC"/>
    <w:rsid w:val="0C8C2518"/>
    <w:rsid w:val="2E660676"/>
    <w:rsid w:val="2F34630E"/>
    <w:rsid w:val="689A0A73"/>
    <w:rsid w:val="6D535020"/>
    <w:rsid w:val="6E927C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font31"/>
    <w:basedOn w:val="6"/>
    <w:qFormat/>
    <w:uiPriority w:val="0"/>
    <w:rPr>
      <w:rFonts w:hint="default" w:ascii="Calibri" w:hAnsi="Calibri" w:cs="Calibri"/>
      <w:color w:val="0000FF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china</Company>
  <Pages>1</Pages>
  <Words>447</Words>
  <Characters>2549</Characters>
  <Lines>21</Lines>
  <Paragraphs>5</Paragraphs>
  <TotalTime>15</TotalTime>
  <ScaleCrop>false</ScaleCrop>
  <LinksUpToDate>false</LinksUpToDate>
  <CharactersWithSpaces>2991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2021-11-02T02:45:00Z</dcterms:created>
  <dc:creator>WPS_1527834721</dc:creator>
  <cp:lastModifiedBy>利</cp:lastModifiedBy>
  <dcterms:modified xsi:type="dcterms:W3CDTF">2024-12-27T00:57:47Z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E5EC83AE651C41118BA5017DC1B9E0CC_13</vt:lpwstr>
  </property>
</Properties>
</file>