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2020-2021学年课程情况</w:t>
      </w:r>
    </w:p>
    <w:p>
      <w:pPr>
        <w:ind w:firstLine="600" w:firstLineChars="200"/>
        <w:jc w:val="left"/>
      </w:pPr>
      <w:r>
        <w:rPr>
          <w:rFonts w:hint="eastAsia" w:ascii="仿宋" w:hAnsi="仿宋" w:eastAsia="仿宋" w:cs="仿宋"/>
          <w:sz w:val="30"/>
          <w:szCs w:val="30"/>
        </w:rPr>
        <w:t>全校开设课程总门数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1764门。</w:t>
      </w:r>
      <w:r>
        <w:rPr>
          <w:rFonts w:hint="eastAsia" w:ascii="仿宋" w:hAnsi="仿宋" w:eastAsia="仿宋" w:cs="仿宋"/>
          <w:sz w:val="30"/>
          <w:szCs w:val="30"/>
        </w:rPr>
        <w:t>实践教学学分占总学分比例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选修课学分占总学分比例（见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附</w:t>
      </w:r>
      <w:r>
        <w:rPr>
          <w:rFonts w:hint="eastAsia" w:ascii="仿宋" w:hAnsi="仿宋" w:eastAsia="仿宋" w:cs="仿宋"/>
          <w:sz w:val="30"/>
          <w:szCs w:val="30"/>
        </w:rPr>
        <w:t>表）</w:t>
      </w:r>
    </w:p>
    <w:p>
      <w:pPr>
        <w:jc w:val="center"/>
        <w:rPr>
          <w:rFonts w:hint="eastAsia" w:ascii="宋体" w:hAnsi="宋体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各专业实践教学与选修课程学分比例情况表</w:t>
      </w:r>
    </w:p>
    <w:tbl>
      <w:tblPr>
        <w:tblStyle w:val="4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136"/>
        <w:gridCol w:w="932"/>
        <w:gridCol w:w="236"/>
        <w:gridCol w:w="2092"/>
        <w:gridCol w:w="1133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tblHeader/>
        </w:trPr>
        <w:tc>
          <w:tcPr>
            <w:tcW w:w="2555" w:type="dxa"/>
            <w:vAlign w:val="center"/>
          </w:tcPr>
          <w:p>
            <w:pPr>
              <w:spacing w:line="340" w:lineRule="exact"/>
              <w:ind w:firstLine="400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专业名称</w:t>
            </w:r>
          </w:p>
        </w:tc>
        <w:tc>
          <w:tcPr>
            <w:tcW w:w="1136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实践环节占比</w:t>
            </w:r>
            <w:r>
              <w:rPr>
                <w:rFonts w:hint="eastAsia" w:ascii="宋体" w:hAnsi="宋体" w:cs="宋体"/>
                <w:sz w:val="20"/>
                <w:szCs w:val="21"/>
              </w:rPr>
              <w:t>（%）</w:t>
            </w:r>
          </w:p>
        </w:tc>
        <w:tc>
          <w:tcPr>
            <w:tcW w:w="932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选修课占比（%）</w:t>
            </w:r>
          </w:p>
        </w:tc>
        <w:tc>
          <w:tcPr>
            <w:tcW w:w="236" w:type="dxa"/>
            <w:vMerge w:val="restart"/>
          </w:tcPr>
          <w:p>
            <w:pPr>
              <w:spacing w:line="340" w:lineRule="exact"/>
              <w:ind w:firstLine="400"/>
              <w:jc w:val="center"/>
              <w:rPr>
                <w:rFonts w:hint="eastAsia" w:ascii="宋体" w:hAnsi="宋体" w:cs="宋体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spacing w:line="340" w:lineRule="exact"/>
              <w:ind w:firstLine="400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专业名称</w:t>
            </w:r>
          </w:p>
        </w:tc>
        <w:tc>
          <w:tcPr>
            <w:tcW w:w="1133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实践环节占比</w:t>
            </w:r>
            <w:r>
              <w:rPr>
                <w:rFonts w:hint="eastAsia" w:ascii="宋体" w:hAnsi="宋体" w:cs="宋体"/>
                <w:sz w:val="20"/>
                <w:szCs w:val="21"/>
              </w:rPr>
              <w:t>（%）</w:t>
            </w:r>
          </w:p>
        </w:tc>
        <w:tc>
          <w:tcPr>
            <w:tcW w:w="1130" w:type="dxa"/>
            <w:vAlign w:val="center"/>
          </w:tcPr>
          <w:p>
            <w:pPr>
              <w:spacing w:line="340" w:lineRule="exact"/>
              <w:ind w:firstLine="0" w:firstLineChars="0"/>
              <w:jc w:val="center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选修课</w:t>
            </w:r>
          </w:p>
          <w:p>
            <w:pPr>
              <w:spacing w:line="340" w:lineRule="exact"/>
              <w:ind w:firstLine="0" w:firstLineChars="0"/>
              <w:jc w:val="center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1"/>
              </w:rPr>
              <w:t>占比（%）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汉语言文学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33.61%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20.48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自然地理与资源环境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31.67%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网络与新媒体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42.37%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15.71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人文地理与城乡规划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38.26%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14.46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秘书学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30.8%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18.07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环境工程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36.16%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音乐表演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53.71%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工程造价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35.45%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ascii="宋体" w:hAnsi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表演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38.89%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18.07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ascii="宋体" w:hAnsi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人力资源管理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38.28%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hint="eastAsia"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舞蹈编导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52.84%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16.47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物流管理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38.46%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法学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36.13%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18.82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133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37.30%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社会工作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39.68%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18.07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市场营销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37.89%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行政管理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38.27%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会计学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34.90%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32.03%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财务管理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35.58%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软件工程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31.74%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国际经济与贸易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39.07%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建筑电气与智能化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36.52%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金融学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37.89%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数据科学与大数据技术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34.67%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保险学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37.50%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机械设计制造及其自动化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36.92%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电子商务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37.30%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印刷工程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41.33%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19.28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投资学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37.79%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材料成型及控制工程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31.93%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互联网金融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37.89%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机械电子工程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36.38%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13.25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数字媒体艺术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54.30%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电子信息工程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37.90%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18.67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视觉传达设计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61.07%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17.06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物联网工程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36.06%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工业设计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53.28%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20.48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机器人工程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38.74%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15.06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环境设计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44.70%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16.47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工程管理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35.45%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13.25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英语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40.08%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安全工程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36.06%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15.66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商务英语</w:t>
            </w:r>
          </w:p>
        </w:tc>
        <w:tc>
          <w:tcPr>
            <w:tcW w:w="1133" w:type="dxa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39.37%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19.34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tblHeader/>
        </w:trPr>
        <w:tc>
          <w:tcPr>
            <w:tcW w:w="255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土木工程</w:t>
            </w:r>
          </w:p>
        </w:tc>
        <w:tc>
          <w:tcPr>
            <w:tcW w:w="113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35.58%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ind w:firstLine="0" w:firstLineChars="0"/>
              <w:jc w:val="center"/>
              <w:textAlignment w:val="bottom"/>
              <w:rPr>
                <w:rFonts w:ascii="宋体" w:hAnsi="宋体" w:cs="宋体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13.53</w:t>
            </w:r>
          </w:p>
        </w:tc>
        <w:tc>
          <w:tcPr>
            <w:tcW w:w="236" w:type="dxa"/>
            <w:vMerge w:val="continue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92" w:type="dxa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3" w:type="dxa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130" w:type="dxa"/>
          </w:tcPr>
          <w:p>
            <w:pPr>
              <w:widowControl/>
              <w:ind w:firstLine="400"/>
              <w:jc w:val="center"/>
              <w:textAlignment w:val="bottom"/>
              <w:rPr>
                <w:rFonts w:hint="eastAsia" w:ascii="宋体" w:hAnsi="宋体" w:cs="宋体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0676"/>
    <w:rsid w:val="2E6606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2021-11-02T02:45:00Z</dcterms:created>
  <dc:creator>WPS_1527834721</dc:creator>
  <cp:lastModifiedBy>WPS_1527834721</cp:lastModifiedBy>
  <dcterms:modified xsi:type="dcterms:W3CDTF">2021-11-02T02:48:37Z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