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Ind w:w="108" w:type="dxa"/>
        <w:tblBorders>
          <w:bottom w:val="thickThinSmallGap" w:sz="24" w:space="0" w:color="FF0000"/>
          <w:insideH w:val="none" w:sz="0" w:space="0" w:color="auto"/>
          <w:insideV w:val="none" w:sz="0" w:space="0" w:color="auto"/>
        </w:tblBorders>
        <w:tblLook w:val="04A0"/>
      </w:tblPr>
      <w:tblGrid>
        <w:gridCol w:w="8931"/>
      </w:tblGrid>
      <w:tr w:rsidR="00053757" w:rsidRPr="00286B50" w:rsidTr="00235FF3">
        <w:trPr>
          <w:trHeight w:val="6633"/>
        </w:trPr>
        <w:tc>
          <w:tcPr>
            <w:tcW w:w="8931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:rsidR="00053757" w:rsidRPr="004E4724" w:rsidRDefault="00053757" w:rsidP="00235FF3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53757" w:rsidRDefault="00053757" w:rsidP="00235FF3">
            <w:pPr>
              <w:rPr>
                <w:sz w:val="32"/>
                <w:szCs w:val="32"/>
              </w:rPr>
            </w:pPr>
          </w:p>
          <w:p w:rsidR="004E4724" w:rsidRPr="00535500" w:rsidRDefault="004E4724" w:rsidP="00235FF3">
            <w:pPr>
              <w:rPr>
                <w:sz w:val="32"/>
                <w:szCs w:val="32"/>
              </w:rPr>
            </w:pPr>
          </w:p>
          <w:p w:rsidR="00053757" w:rsidRPr="00535500" w:rsidRDefault="00053757" w:rsidP="00235FF3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053757" w:rsidRPr="00535500" w:rsidRDefault="00053757" w:rsidP="00235FF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53757" w:rsidRDefault="00FD4AC3" w:rsidP="007D4BBF">
            <w:pPr>
              <w:tabs>
                <w:tab w:val="left" w:pos="2544"/>
              </w:tabs>
              <w:spacing w:beforeLines="150"/>
              <w:rPr>
                <w:rFonts w:ascii="仿宋_GB2312" w:eastAsia="仿宋_GB2312"/>
                <w:sz w:val="32"/>
                <w:szCs w:val="32"/>
              </w:rPr>
            </w:pPr>
            <w:r w:rsidRPr="00FD4AC3"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3.8pt;margin-top:54.75pt;width:443.25pt;height:56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" strokecolor="window">
                  <v:textbox>
                    <w:txbxContent>
                      <w:p w:rsidR="00053757" w:rsidRPr="00ED5225" w:rsidRDefault="00053757" w:rsidP="007D4BBF">
                        <w:pPr>
                          <w:spacing w:beforeLines="20"/>
                          <w:jc w:val="center"/>
                          <w:rPr>
                            <w:rFonts w:ascii="小标宋" w:eastAsia="小标宋"/>
                            <w:b/>
                            <w:color w:val="FF0000"/>
                            <w:sz w:val="68"/>
                            <w:szCs w:val="68"/>
                          </w:rPr>
                        </w:pPr>
                        <w:bookmarkStart w:id="0" w:name="_GoBack"/>
                        <w:r w:rsidRPr="00ED5225">
                          <w:rPr>
                            <w:rFonts w:ascii="小标宋" w:eastAsia="小标宋" w:hint="eastAsia"/>
                            <w:b/>
                            <w:color w:val="FF0000"/>
                            <w:sz w:val="68"/>
                            <w:szCs w:val="68"/>
                          </w:rPr>
                          <w:t>东莞理工学院城市学院文件</w:t>
                        </w:r>
                        <w:bookmarkEnd w:id="0"/>
                      </w:p>
                    </w:txbxContent>
                  </v:textbox>
                </v:shape>
              </w:pict>
            </w:r>
            <w:r w:rsidR="00053757">
              <w:rPr>
                <w:rFonts w:ascii="仿宋_GB2312" w:eastAsia="仿宋_GB2312"/>
                <w:sz w:val="32"/>
                <w:szCs w:val="32"/>
              </w:rPr>
              <w:tab/>
            </w:r>
          </w:p>
          <w:p w:rsidR="00053757" w:rsidRPr="00056DB3" w:rsidRDefault="00053757" w:rsidP="00235FF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53757" w:rsidRPr="00056DB3" w:rsidRDefault="00053757" w:rsidP="00235FF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53757" w:rsidRPr="00C43E87" w:rsidRDefault="00053757" w:rsidP="00235FF3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053757" w:rsidRPr="00CB01F3" w:rsidRDefault="00053757" w:rsidP="007D4BBF">
            <w:pPr>
              <w:spacing w:beforeLines="30"/>
              <w:ind w:rightChars="100" w:right="276" w:firstLineChars="100" w:firstLine="316"/>
              <w:rPr>
                <w:rFonts w:ascii="方正楷体简体" w:eastAsia="方正楷体简体"/>
                <w:sz w:val="32"/>
                <w:szCs w:val="32"/>
              </w:rPr>
            </w:pPr>
            <w:r w:rsidRPr="006D4755">
              <w:rPr>
                <w:rFonts w:ascii="楷体" w:eastAsia="楷体" w:hAnsi="楷体" w:hint="eastAsia"/>
                <w:sz w:val="32"/>
                <w:szCs w:val="32"/>
              </w:rPr>
              <w:t>东理城</w:t>
            </w:r>
            <w:r w:rsidRPr="006D4755">
              <w:rPr>
                <w:rFonts w:ascii="Times New Roman" w:eastAsia="方正楷体简体" w:hAnsi="Times New Roman" w:cs="Times New Roman"/>
                <w:sz w:val="32"/>
                <w:szCs w:val="32"/>
              </w:rPr>
              <w:t>〔</w:t>
            </w:r>
            <w:r w:rsidRPr="006D4755">
              <w:rPr>
                <w:rFonts w:ascii="Times New Roman" w:eastAsia="方正楷体简体" w:hAnsi="Times New Roman" w:cs="Times New Roman"/>
                <w:sz w:val="32"/>
                <w:szCs w:val="32"/>
              </w:rPr>
              <w:t>201</w:t>
            </w:r>
            <w:r w:rsidR="005D3B5C">
              <w:rPr>
                <w:rFonts w:ascii="Times New Roman" w:eastAsia="方正楷体简体" w:hAnsi="Times New Roman" w:cs="Times New Roman" w:hint="eastAsia"/>
                <w:sz w:val="32"/>
                <w:szCs w:val="32"/>
              </w:rPr>
              <w:t>3</w:t>
            </w:r>
            <w:r w:rsidRPr="006D4755">
              <w:rPr>
                <w:rFonts w:ascii="Times New Roman" w:eastAsia="方正楷体简体" w:hAnsi="Times New Roman" w:cs="Times New Roman"/>
                <w:sz w:val="32"/>
                <w:szCs w:val="32"/>
              </w:rPr>
              <w:t>〕</w:t>
            </w:r>
            <w:r w:rsidR="007D4BBF">
              <w:rPr>
                <w:rFonts w:ascii="Times New Roman" w:eastAsia="方正楷体简体" w:hAnsi="Times New Roman" w:cs="Times New Roman" w:hint="eastAsia"/>
                <w:sz w:val="32"/>
                <w:szCs w:val="32"/>
              </w:rPr>
              <w:t>72</w:t>
            </w:r>
            <w:r w:rsidRPr="005D3B5C">
              <w:rPr>
                <w:rFonts w:ascii="楷体" w:eastAsia="楷体" w:hAnsi="楷体" w:hint="eastAsia"/>
                <w:sz w:val="32"/>
                <w:szCs w:val="32"/>
              </w:rPr>
              <w:t>号</w:t>
            </w:r>
            <w:r w:rsidRPr="00CB01F3">
              <w:rPr>
                <w:rFonts w:ascii="方正楷体简体" w:eastAsia="方正楷体简体" w:hint="eastAsia"/>
                <w:sz w:val="32"/>
                <w:szCs w:val="32"/>
              </w:rPr>
              <w:t xml:space="preserve">                   </w:t>
            </w:r>
            <w:r w:rsidR="00CB01F3" w:rsidRPr="00CB01F3">
              <w:rPr>
                <w:rFonts w:ascii="方正楷体简体" w:eastAsia="方正楷体简体" w:hint="eastAsia"/>
                <w:sz w:val="32"/>
                <w:szCs w:val="32"/>
              </w:rPr>
              <w:t xml:space="preserve"> </w:t>
            </w:r>
            <w:r w:rsidRPr="0051601B">
              <w:rPr>
                <w:rFonts w:ascii="仿宋" w:eastAsia="仿宋" w:hAnsi="仿宋" w:hint="eastAsia"/>
                <w:sz w:val="32"/>
                <w:szCs w:val="32"/>
              </w:rPr>
              <w:t>签发人:</w:t>
            </w:r>
            <w:r w:rsidRPr="0051601B">
              <w:rPr>
                <w:rFonts w:ascii="楷体" w:eastAsia="楷体" w:hAnsi="楷体" w:hint="eastAsia"/>
                <w:sz w:val="32"/>
                <w:szCs w:val="32"/>
              </w:rPr>
              <w:t xml:space="preserve"> </w:t>
            </w:r>
            <w:r w:rsidR="00E702C3">
              <w:rPr>
                <w:rFonts w:ascii="楷体" w:eastAsia="楷体" w:hAnsi="楷体" w:hint="eastAsia"/>
                <w:sz w:val="32"/>
                <w:szCs w:val="32"/>
              </w:rPr>
              <w:t>张林</w:t>
            </w:r>
          </w:p>
        </w:tc>
      </w:tr>
    </w:tbl>
    <w:p w:rsidR="00053757" w:rsidRPr="00653ED8" w:rsidRDefault="00053757" w:rsidP="00053757">
      <w:pPr>
        <w:rPr>
          <w:rFonts w:ascii="方正小标宋简体" w:eastAsia="方正小标宋简体" w:hAnsi="仿宋"/>
          <w:sz w:val="32"/>
          <w:szCs w:val="32"/>
        </w:rPr>
      </w:pPr>
    </w:p>
    <w:p w:rsidR="00702CD9" w:rsidRDefault="00702CD9" w:rsidP="005D3B5C">
      <w:pPr>
        <w:spacing w:line="0" w:lineRule="atLeast"/>
        <w:jc w:val="center"/>
        <w:rPr>
          <w:rFonts w:ascii="小标宋" w:eastAsia="小标宋" w:hAnsi="仿宋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>关于我院</w:t>
      </w:r>
      <w:r w:rsidRPr="00067897">
        <w:rPr>
          <w:rFonts w:ascii="小标宋" w:eastAsia="小标宋" w:hAnsi="仿宋"/>
          <w:sz w:val="44"/>
          <w:szCs w:val="44"/>
        </w:rPr>
        <w:t>2012-2013</w:t>
      </w:r>
      <w:r>
        <w:rPr>
          <w:rFonts w:ascii="小标宋" w:eastAsia="小标宋" w:hAnsi="仿宋" w:hint="eastAsia"/>
          <w:sz w:val="44"/>
          <w:szCs w:val="44"/>
        </w:rPr>
        <w:t>学年度</w:t>
      </w:r>
    </w:p>
    <w:p w:rsidR="00053757" w:rsidRPr="00CB01F3" w:rsidRDefault="00702CD9" w:rsidP="005D3B5C">
      <w:pPr>
        <w:spacing w:line="0" w:lineRule="atLeast"/>
        <w:jc w:val="center"/>
        <w:rPr>
          <w:rFonts w:ascii="小标宋" w:eastAsia="小标宋" w:hAnsi="仿宋"/>
          <w:sz w:val="44"/>
          <w:szCs w:val="44"/>
        </w:rPr>
      </w:pPr>
      <w:r w:rsidRPr="00067897">
        <w:rPr>
          <w:rFonts w:ascii="小标宋" w:eastAsia="小标宋" w:hAnsi="仿宋"/>
          <w:sz w:val="44"/>
          <w:szCs w:val="44"/>
        </w:rPr>
        <w:t>信息公开工作</w:t>
      </w:r>
      <w:r>
        <w:rPr>
          <w:rFonts w:ascii="小标宋" w:eastAsia="小标宋" w:hAnsi="仿宋" w:hint="eastAsia"/>
          <w:sz w:val="44"/>
          <w:szCs w:val="44"/>
        </w:rPr>
        <w:t>的</w:t>
      </w:r>
      <w:r w:rsidRPr="00067897">
        <w:rPr>
          <w:rFonts w:ascii="小标宋" w:eastAsia="小标宋" w:hAnsi="仿宋"/>
          <w:sz w:val="44"/>
          <w:szCs w:val="44"/>
        </w:rPr>
        <w:t>报告</w:t>
      </w:r>
    </w:p>
    <w:p w:rsidR="00C1227A" w:rsidRDefault="00C1227A" w:rsidP="005D3B5C">
      <w:pPr>
        <w:rPr>
          <w:rFonts w:ascii="仿宋_GB2312" w:eastAsia="仿宋_GB2312"/>
          <w:sz w:val="32"/>
          <w:szCs w:val="32"/>
        </w:rPr>
      </w:pPr>
    </w:p>
    <w:p w:rsidR="005D3B5C" w:rsidRPr="00CB2012" w:rsidRDefault="005D3B5C" w:rsidP="005D3B5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广东省</w:t>
      </w:r>
      <w:r w:rsidR="00C1227A">
        <w:rPr>
          <w:rFonts w:ascii="仿宋_GB2312" w:eastAsia="仿宋_GB2312" w:hint="eastAsia"/>
          <w:sz w:val="32"/>
          <w:szCs w:val="32"/>
        </w:rPr>
        <w:t>教育厅</w:t>
      </w:r>
      <w:r w:rsidRPr="00CB2012">
        <w:rPr>
          <w:rFonts w:ascii="仿宋_GB2312" w:eastAsia="仿宋_GB2312" w:hint="eastAsia"/>
          <w:sz w:val="32"/>
          <w:szCs w:val="32"/>
        </w:rPr>
        <w:t>：</w:t>
      </w:r>
    </w:p>
    <w:p w:rsidR="00C1227A" w:rsidRDefault="005D3B5C" w:rsidP="00702CD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="00C1227A">
        <w:rPr>
          <w:rFonts w:ascii="仿宋_GB2312" w:eastAsia="仿宋_GB2312" w:hint="eastAsia"/>
          <w:sz w:val="32"/>
          <w:szCs w:val="32"/>
        </w:rPr>
        <w:t>广东省教育厅转发教育部办公厅关于做好2012-2013学年度高校信息公开工作年度报告工作的通知》要求，现将</w:t>
      </w:r>
      <w:r w:rsidR="00702CD9">
        <w:rPr>
          <w:rFonts w:ascii="仿宋_GB2312" w:eastAsia="仿宋_GB2312" w:hint="eastAsia"/>
          <w:sz w:val="32"/>
          <w:szCs w:val="32"/>
        </w:rPr>
        <w:t>我</w:t>
      </w:r>
      <w:r w:rsidR="00C1227A" w:rsidRPr="00C1227A">
        <w:rPr>
          <w:rFonts w:ascii="仿宋_GB2312" w:eastAsia="仿宋_GB2312" w:hint="eastAsia"/>
          <w:sz w:val="32"/>
          <w:szCs w:val="32"/>
        </w:rPr>
        <w:t>院</w:t>
      </w:r>
      <w:r w:rsidR="00C1227A" w:rsidRPr="00C1227A">
        <w:rPr>
          <w:rFonts w:ascii="仿宋_GB2312" w:eastAsia="仿宋_GB2312"/>
          <w:sz w:val="32"/>
          <w:szCs w:val="32"/>
        </w:rPr>
        <w:t>2012-2013</w:t>
      </w:r>
      <w:r w:rsidR="00702CD9">
        <w:rPr>
          <w:rFonts w:ascii="仿宋_GB2312" w:eastAsia="仿宋_GB2312"/>
          <w:sz w:val="32"/>
          <w:szCs w:val="32"/>
        </w:rPr>
        <w:t>学年度信息公开工作</w:t>
      </w:r>
      <w:r w:rsidR="00702CD9">
        <w:rPr>
          <w:rFonts w:ascii="仿宋_GB2312" w:eastAsia="仿宋_GB2312" w:hint="eastAsia"/>
          <w:sz w:val="32"/>
          <w:szCs w:val="32"/>
        </w:rPr>
        <w:t>有关情况报告如下</w:t>
      </w:r>
      <w:r w:rsidR="00E702C3">
        <w:rPr>
          <w:rFonts w:ascii="仿宋_GB2312" w:eastAsia="仿宋_GB2312" w:hint="eastAsia"/>
          <w:bCs/>
          <w:sz w:val="32"/>
          <w:szCs w:val="32"/>
        </w:rPr>
        <w:t>：</w:t>
      </w:r>
    </w:p>
    <w:p w:rsidR="00E702C3" w:rsidRPr="00E702C3" w:rsidRDefault="00E702C3" w:rsidP="00E702C3">
      <w:pPr>
        <w:ind w:firstLineChars="200" w:firstLine="633"/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E702C3">
        <w:rPr>
          <w:rFonts w:ascii="黑体" w:eastAsia="黑体" w:hAnsi="黑体" w:hint="eastAsia"/>
          <w:color w:val="000000"/>
          <w:sz w:val="32"/>
          <w:szCs w:val="32"/>
          <w:u w:color="1C654D"/>
        </w:rPr>
        <w:lastRenderedPageBreak/>
        <w:t>前言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 w:rsidRPr="00CC7EA2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《高等学校信息公开办法》</w:t>
      </w:r>
      <w:r w:rsidRPr="000214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（教育部令第</w:t>
      </w:r>
      <w:r w:rsidRPr="00021464">
        <w:rPr>
          <w:rFonts w:ascii="仿宋_GB2312" w:eastAsia="仿宋_GB2312" w:hAnsi="仿宋"/>
          <w:color w:val="000000"/>
          <w:sz w:val="32"/>
          <w:szCs w:val="32"/>
          <w:u w:color="1C654D"/>
        </w:rPr>
        <w:t>29号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</w:t>
      </w:r>
      <w:r w:rsidRPr="00CA7EC6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以下简称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“29号令”</w:t>
      </w:r>
      <w:r w:rsidRPr="00021464">
        <w:rPr>
          <w:rFonts w:ascii="仿宋_GB2312" w:eastAsia="仿宋_GB2312" w:hAnsi="仿宋"/>
          <w:color w:val="000000"/>
          <w:sz w:val="32"/>
          <w:szCs w:val="32"/>
          <w:u w:color="1C654D"/>
        </w:rPr>
        <w:t>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和</w:t>
      </w:r>
      <w:r w:rsidRPr="00067897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《教育部办公厅关于做好201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067897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-201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067897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学年度高校信息公开工作年度报告工作的通知》（教办厅函[201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067897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]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48</w:t>
      </w:r>
      <w:r w:rsidRPr="00067897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号）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要求，</w:t>
      </w:r>
      <w:r w:rsidRPr="00CC7EA2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我院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对</w:t>
      </w:r>
      <w:r w:rsidRPr="00CC7EA2">
        <w:rPr>
          <w:rFonts w:ascii="仿宋_GB2312" w:eastAsia="仿宋_GB2312" w:hAnsi="仿宋"/>
          <w:color w:val="000000"/>
          <w:sz w:val="32"/>
          <w:szCs w:val="32"/>
          <w:u w:color="1C654D"/>
        </w:rPr>
        <w:t>201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2-2013</w:t>
      </w:r>
      <w:r w:rsidRPr="00CC7EA2">
        <w:rPr>
          <w:rFonts w:ascii="仿宋_GB2312" w:eastAsia="仿宋_GB2312" w:hAnsi="仿宋"/>
          <w:color w:val="000000"/>
          <w:sz w:val="32"/>
          <w:szCs w:val="32"/>
          <w:u w:color="1C654D"/>
        </w:rPr>
        <w:t>学年</w:t>
      </w:r>
      <w:r w:rsidR="00702CD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度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的</w:t>
      </w:r>
      <w:r w:rsidRPr="00CC7EA2">
        <w:rPr>
          <w:rFonts w:ascii="仿宋_GB2312" w:eastAsia="仿宋_GB2312" w:hAnsi="仿宋"/>
          <w:color w:val="000000"/>
          <w:sz w:val="32"/>
          <w:szCs w:val="32"/>
          <w:u w:color="1C654D"/>
        </w:rPr>
        <w:t>信息公开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工作进行逐项检查，形成本报告。</w:t>
      </w:r>
    </w:p>
    <w:p w:rsidR="00C1227A" w:rsidRPr="00D2153B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D2153B">
        <w:rPr>
          <w:rFonts w:ascii="黑体" w:eastAsia="黑体" w:hAnsi="黑体" w:hint="eastAsia"/>
          <w:color w:val="000000"/>
          <w:sz w:val="32"/>
          <w:szCs w:val="32"/>
          <w:u w:color="1C654D"/>
        </w:rPr>
        <w:t>概述</w:t>
      </w:r>
    </w:p>
    <w:p w:rsidR="00C1227A" w:rsidRDefault="00C1227A" w:rsidP="00C1227A">
      <w:pPr>
        <w:ind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2012-2013学年</w:t>
      </w:r>
      <w:r w:rsidR="00702CD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度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，我院严格按照“29号令”的要求，</w:t>
      </w:r>
      <w:r w:rsidRPr="00651F10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组织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学院（党委）</w:t>
      </w:r>
      <w:r w:rsidRPr="00651F10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办公室、宣传部、新闻中心、学生处、教务处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、财务处以及图书信息中心</w:t>
      </w:r>
      <w:r w:rsidRPr="00651F10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有关部门</w:t>
      </w:r>
      <w:r w:rsidRPr="00651F10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依据我院制定的《信息公开实施细则》开展各项工作。通过健全信息公开机制、拓宽信息公开渠道、加大信息公开力度，使我院信息公开工作得到进一步发展。</w:t>
      </w:r>
    </w:p>
    <w:p w:rsidR="00C1227A" w:rsidRPr="00C445E0" w:rsidRDefault="00C1227A" w:rsidP="00C1227A">
      <w:pPr>
        <w:pStyle w:val="a9"/>
        <w:numPr>
          <w:ilvl w:val="0"/>
          <w:numId w:val="2"/>
        </w:numPr>
        <w:rPr>
          <w:rFonts w:ascii="楷体" w:eastAsia="楷体" w:hAnsi="楷体"/>
          <w:color w:val="000000"/>
          <w:sz w:val="32"/>
          <w:szCs w:val="32"/>
          <w:u w:color="1C654D"/>
        </w:rPr>
      </w:pPr>
      <w:r w:rsidRPr="00C445E0">
        <w:rPr>
          <w:rFonts w:ascii="楷体" w:eastAsia="楷体" w:hAnsi="楷体" w:hint="eastAsia"/>
          <w:color w:val="000000"/>
          <w:sz w:val="32"/>
          <w:szCs w:val="32"/>
          <w:u w:color="1C654D"/>
        </w:rPr>
        <w:t>健全信息公开机制</w:t>
      </w:r>
    </w:p>
    <w:p w:rsidR="00C1227A" w:rsidRPr="001B728B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依照“29号令”的精神，修订《信息公开实施细则》，完善信息公开机制，同时注重反馈信息的收集与处理。建立学生信息反馈机制，收集学生反馈意见和建议，畅通信息反馈渠道；建立“机关处室工作协调会制度”，定期召开处室负责人工作协调会，建立部门信息沟通平台，及时协商解决师生关注的热点问题。</w:t>
      </w:r>
    </w:p>
    <w:p w:rsidR="00C1227A" w:rsidRPr="00E702C3" w:rsidRDefault="00C1227A" w:rsidP="00C1227A">
      <w:pPr>
        <w:pStyle w:val="a9"/>
        <w:numPr>
          <w:ilvl w:val="0"/>
          <w:numId w:val="2"/>
        </w:numPr>
        <w:rPr>
          <w:rFonts w:ascii="楷体" w:eastAsia="楷体" w:hAnsi="楷体"/>
          <w:color w:val="000000"/>
          <w:sz w:val="32"/>
          <w:szCs w:val="32"/>
          <w:u w:color="1C654D"/>
        </w:rPr>
      </w:pPr>
      <w:r w:rsidRPr="00E702C3">
        <w:rPr>
          <w:rFonts w:ascii="楷体" w:eastAsia="楷体" w:hAnsi="楷体" w:hint="eastAsia"/>
          <w:color w:val="000000"/>
          <w:sz w:val="32"/>
          <w:szCs w:val="32"/>
          <w:u w:color="1C654D"/>
        </w:rPr>
        <w:t>拓宽信息公开渠道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为顺应信息时代的发展，加强信息公开力度，学院开辟了多种信息公开渠道，除了继续加强学院网站、院报院刊、学院文件、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lastRenderedPageBreak/>
        <w:t>学院广播、宣传栏等传统形式的信息公开工作以外，还开辟诸如微博、微信等新兴媒体的信息公开功能</w:t>
      </w:r>
      <w:r w:rsidR="00E702C3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全方位地开展信息公开工作。</w:t>
      </w:r>
    </w:p>
    <w:p w:rsidR="00C1227A" w:rsidRPr="00E702C3" w:rsidRDefault="00C1227A" w:rsidP="00C1227A">
      <w:pPr>
        <w:pStyle w:val="a9"/>
        <w:numPr>
          <w:ilvl w:val="0"/>
          <w:numId w:val="2"/>
        </w:numPr>
        <w:rPr>
          <w:rFonts w:ascii="楷体" w:eastAsia="楷体" w:hAnsi="楷体"/>
          <w:color w:val="000000"/>
          <w:sz w:val="32"/>
          <w:szCs w:val="32"/>
          <w:u w:color="1C654D"/>
        </w:rPr>
      </w:pPr>
      <w:r w:rsidRPr="00E702C3">
        <w:rPr>
          <w:rFonts w:ascii="楷体" w:eastAsia="楷体" w:hAnsi="楷体" w:hint="eastAsia"/>
          <w:color w:val="000000"/>
          <w:sz w:val="32"/>
          <w:szCs w:val="32"/>
          <w:u w:color="1C654D"/>
        </w:rPr>
        <w:t>加强信息公开意识</w:t>
      </w:r>
    </w:p>
    <w:p w:rsidR="00C1227A" w:rsidRPr="00227C0C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学院通过组织学习上级相关文件，开展信息公开工作宣传教育，开展信息公开讨论会，加强全体教职员工的信息公开意识，改进工作方式和工作作风，为信息公开工作提供思想基础，发挥个体主动性。</w:t>
      </w:r>
    </w:p>
    <w:p w:rsidR="00C1227A" w:rsidRPr="00D2153B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D2153B">
        <w:rPr>
          <w:rFonts w:ascii="黑体" w:eastAsia="黑体" w:hAnsi="黑体" w:hint="eastAsia"/>
          <w:color w:val="000000"/>
          <w:sz w:val="32"/>
          <w:szCs w:val="32"/>
          <w:u w:color="1C654D"/>
        </w:rPr>
        <w:t>主动公开情况</w:t>
      </w:r>
    </w:p>
    <w:p w:rsidR="00C1227A" w:rsidRDefault="00C1227A" w:rsidP="00C1227A">
      <w:pPr>
        <w:pStyle w:val="a9"/>
        <w:numPr>
          <w:ilvl w:val="0"/>
          <w:numId w:val="3"/>
        </w:numPr>
        <w:rPr>
          <w:rFonts w:ascii="楷体" w:eastAsia="楷体" w:hAnsi="楷体"/>
          <w:color w:val="000000"/>
          <w:sz w:val="32"/>
          <w:szCs w:val="32"/>
          <w:u w:color="1C654D"/>
        </w:rPr>
      </w:pPr>
      <w:r>
        <w:rPr>
          <w:rFonts w:ascii="楷体" w:eastAsia="楷体" w:hAnsi="楷体" w:hint="eastAsia"/>
          <w:color w:val="000000"/>
          <w:sz w:val="32"/>
          <w:szCs w:val="32"/>
          <w:u w:color="1C654D"/>
        </w:rPr>
        <w:t>主动公开内容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1.学院</w:t>
      </w:r>
      <w:r w:rsidRPr="00A05B53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基本情况的信息。包括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A05B53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办学历史、办学性质、办学层次、办学规模，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校园概况、管理体制、机构设置、</w:t>
      </w:r>
      <w:r w:rsidRPr="00A05B53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师资队伍等基本信息。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2.</w:t>
      </w:r>
      <w:r w:rsidRPr="00934D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学院文件、规章制度、统计数据等有关信息情况。包括学院制定和发布的各类规范性文件、教育教学、科研创作和社会服务等方面的发展规划、工作计划以及统计数据等信息。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3.学院公共资源信息。包括学院教室、实验室等教学资源，以及大型仪器设备、图书资源等信息。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4.</w:t>
      </w:r>
      <w:r w:rsidRPr="00934D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关系教职工、学生利益和公众关注的重要事项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  <w:r w:rsidRPr="00934D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即：招生政策、招生资格及有关考生资格、招生计划、录取信息等招生信息；学生评奖评优、学费减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免、贷款、勤工助学的政策、办法、毕业生就业服务、学生反馈信息处理结果等信息。</w:t>
      </w:r>
    </w:p>
    <w:p w:rsidR="00C1227A" w:rsidRPr="00934D9E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lastRenderedPageBreak/>
        <w:t>5.学院动态信息。包括</w:t>
      </w:r>
      <w:r w:rsidRPr="00934D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教职工培训、人事任免信息、招聘、职称评审办法和结果等有关人事工作信息；科研、创作项目申报、科研创作奖励制度和科研创作项目结果等科研管理信息；相关资金使用制度、评标纪律、招投标管理办法等信息；财务规章制度、年度财务收支情况等。</w:t>
      </w:r>
    </w:p>
    <w:p w:rsidR="00C1227A" w:rsidRDefault="00C1227A" w:rsidP="00C1227A">
      <w:pPr>
        <w:pStyle w:val="a9"/>
        <w:numPr>
          <w:ilvl w:val="0"/>
          <w:numId w:val="3"/>
        </w:numPr>
        <w:rPr>
          <w:rFonts w:ascii="楷体" w:eastAsia="楷体" w:hAnsi="楷体"/>
          <w:color w:val="000000"/>
          <w:sz w:val="32"/>
          <w:szCs w:val="32"/>
          <w:u w:color="1C654D"/>
        </w:rPr>
      </w:pPr>
      <w:r>
        <w:rPr>
          <w:rFonts w:ascii="楷体" w:eastAsia="楷体" w:hAnsi="楷体" w:hint="eastAsia"/>
          <w:color w:val="000000"/>
          <w:sz w:val="32"/>
          <w:szCs w:val="32"/>
          <w:u w:color="1C654D"/>
        </w:rPr>
        <w:t>主动公开方式</w:t>
      </w:r>
    </w:p>
    <w:p w:rsidR="00C1227A" w:rsidRPr="00A05B53" w:rsidRDefault="00C1227A" w:rsidP="00C1227A">
      <w:pPr>
        <w:pStyle w:val="a9"/>
        <w:ind w:left="0"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1.</w:t>
      </w:r>
      <w:r w:rsidRPr="00A05B53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学院网站：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通过学院主页、党政部门网页、系部网页</w:t>
      </w:r>
      <w:r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向师生员工和社会公众公开信息。</w:t>
      </w:r>
    </w:p>
    <w:p w:rsidR="00C1227A" w:rsidRDefault="00C1227A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2.印发文件：通过印发党委文件、学院文件、会议纪要、简报等形式面向全院或院内一定范围内公开信息。</w:t>
      </w:r>
    </w:p>
    <w:p w:rsidR="00C1227A" w:rsidRDefault="00E702C3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3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.各类会议：召开教学工作例会、学生工作例会、机关部处工作协调会、新闻发布会、各类师生座谈会等会议形式公开学院信息。</w:t>
      </w:r>
    </w:p>
    <w:p w:rsidR="00C1227A" w:rsidRDefault="00E702C3" w:rsidP="00C1227A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4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.通过校报校刊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学生手册、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广播、电视以及年鉴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、统计报表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等形式或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利用了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档案馆（室）、图书馆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资料查阅室、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宣传册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索取点、公告栏、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展示板、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电子屏幕等设施</w:t>
      </w:r>
      <w:r w:rsidR="00C1227A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进行信息公开</w:t>
      </w:r>
      <w:r w:rsidR="00C1227A" w:rsidRPr="00F32264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</w:p>
    <w:p w:rsidR="00E702C3" w:rsidRPr="00F32264" w:rsidRDefault="00E702C3" w:rsidP="00E702C3">
      <w:pPr>
        <w:ind w:firstLineChars="199" w:firstLine="630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5.网络媒体：借助百度贴吧、“小城故事”BBS等传统网络媒介，微博、微信等新兴媒体进行信息公开与交流互动。</w:t>
      </w:r>
    </w:p>
    <w:p w:rsidR="00E702C3" w:rsidRPr="00E702C3" w:rsidRDefault="00E702C3" w:rsidP="00E702C3">
      <w:p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E702C3">
        <w:rPr>
          <w:rFonts w:ascii="黑体" w:eastAsia="黑体" w:hAnsi="黑体" w:hint="eastAsia"/>
          <w:color w:val="000000"/>
          <w:sz w:val="32"/>
          <w:szCs w:val="32"/>
          <w:u w:color="1C654D"/>
        </w:rPr>
        <w:t xml:space="preserve">    三、招生“阳光工程”及财务信息公开情况</w:t>
      </w:r>
    </w:p>
    <w:p w:rsidR="00C1227A" w:rsidRPr="00E702C3" w:rsidRDefault="00E702C3" w:rsidP="00E702C3">
      <w:pPr>
        <w:ind w:firstLineChars="200" w:firstLine="633"/>
        <w:rPr>
          <w:rFonts w:ascii="楷体" w:eastAsia="楷体" w:hAnsi="楷体"/>
          <w:color w:val="000000"/>
          <w:sz w:val="32"/>
          <w:szCs w:val="32"/>
          <w:u w:color="1C654D"/>
        </w:rPr>
      </w:pPr>
      <w:r>
        <w:rPr>
          <w:rFonts w:ascii="楷体" w:eastAsia="楷体" w:hAnsi="楷体" w:hint="eastAsia"/>
          <w:color w:val="000000"/>
          <w:sz w:val="32"/>
          <w:szCs w:val="32"/>
          <w:u w:color="1C654D"/>
        </w:rPr>
        <w:t>（一）</w:t>
      </w:r>
      <w:r w:rsidR="00C1227A" w:rsidRPr="00E702C3">
        <w:rPr>
          <w:rFonts w:ascii="楷体" w:eastAsia="楷体" w:hAnsi="楷体" w:hint="eastAsia"/>
          <w:color w:val="000000"/>
          <w:sz w:val="32"/>
          <w:szCs w:val="32"/>
          <w:u w:color="1C654D"/>
        </w:rPr>
        <w:t>招生“阳光工程”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我院2013年</w:t>
      </w:r>
      <w:r w:rsidRPr="0062109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招生工作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认真执行国家招生政策，</w:t>
      </w:r>
      <w:r w:rsidRPr="0062109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积极贯彻落实“阳光工程”实施意见，按照“六公开”、“六不准”的要求，</w:t>
      </w:r>
      <w:r w:rsidRPr="0062109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lastRenderedPageBreak/>
        <w:t>确保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招生录取工作的公平、公正、安全、有序，接受社会监督。</w:t>
      </w:r>
      <w:r w:rsidRPr="0062109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公开信息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主要包括</w:t>
      </w:r>
      <w:r w:rsidRPr="0062109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：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1.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学院概况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：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学院的校史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学院规模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办学条件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师资力量、就业率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联系方式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校园风光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及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毕业生风采等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2.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招生章程：学院组织机构及职责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招生层次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录取原则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录取体检标准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收费标准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资助学生政策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、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招生工作的咨询、监督与申诉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方式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3.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本年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度招生计划、各系及各专业的介绍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：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主要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通过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《东莞理工学院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城市学院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2013年招生简章》、学院网站、阳光高考网、宜搜网、微博、微信、贴吧、部分报刊（《广东省2013年专业目录》（文科、理科）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、《东莞日报》、《广州日报》、《信息时报》、《潮汕高考特刊》）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等媒介及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展板进校园等方式对社会公开。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4.艺术类招生考试信息：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我院艺术专业表演（音乐表演、舞蹈表演、影视表演）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是采取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“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文化成绩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+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校考成绩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”的方式录取。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考试时间、地点、考试标准等相关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校考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信息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通过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印制简章寄发到相关中学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，并在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我院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网页上公布。报名及成绩信息通过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网上预报名系统及成绩查询系统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公开。报名及成绩查询方便快捷，</w:t>
      </w:r>
      <w:r w:rsidRPr="00621099">
        <w:rPr>
          <w:rFonts w:ascii="仿宋_GB2312" w:eastAsia="仿宋_GB2312" w:hAnsi="仿宋"/>
          <w:color w:val="000000"/>
          <w:sz w:val="32"/>
          <w:szCs w:val="32"/>
          <w:u w:color="1C654D"/>
        </w:rPr>
        <w:t>受到广大家长及考生的认可。</w:t>
      </w:r>
    </w:p>
    <w:p w:rsidR="00C1227A" w:rsidRPr="008148C7" w:rsidRDefault="00C1227A" w:rsidP="00C1227A">
      <w:pPr>
        <w:ind w:left="633"/>
        <w:rPr>
          <w:rFonts w:ascii="楷体" w:eastAsia="楷体" w:hAnsi="楷体"/>
          <w:color w:val="000000"/>
          <w:sz w:val="32"/>
          <w:szCs w:val="32"/>
          <w:u w:color="1C654D"/>
        </w:rPr>
      </w:pPr>
      <w:r w:rsidRPr="008148C7">
        <w:rPr>
          <w:rFonts w:ascii="楷体" w:eastAsia="楷体" w:hAnsi="楷体" w:hint="eastAsia"/>
          <w:color w:val="000000"/>
          <w:sz w:val="32"/>
          <w:szCs w:val="32"/>
          <w:u w:color="1C654D"/>
        </w:rPr>
        <w:t>（二）财务信息公开情况</w:t>
      </w:r>
    </w:p>
    <w:p w:rsidR="00C1227A" w:rsidRPr="00D2153B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1.</w:t>
      </w:r>
      <w:r w:rsidRPr="00D2153B">
        <w:rPr>
          <w:rFonts w:ascii="仿宋_GB2312" w:eastAsia="仿宋_GB2312" w:hAnsi="仿宋"/>
          <w:color w:val="000000"/>
          <w:sz w:val="32"/>
          <w:szCs w:val="32"/>
          <w:u w:color="1C654D"/>
        </w:rPr>
        <w:t>预算决算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信息：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按照《东莞理工学院城市学院预算决算管理办法》的相关规定，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预算决算信息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定期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发布，并每年度向各有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lastRenderedPageBreak/>
        <w:t>关部门通报执行情况。我院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计划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2013-2014年度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建立预算执行情况对外查询系统，不断推进预算决算的公开化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程度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</w:p>
    <w:p w:rsidR="00C1227A" w:rsidRPr="00D2153B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2.</w:t>
      </w:r>
      <w:r w:rsidRPr="00D2153B">
        <w:rPr>
          <w:rFonts w:ascii="仿宋_GB2312" w:eastAsia="仿宋_GB2312" w:hAnsi="仿宋"/>
          <w:color w:val="000000"/>
          <w:sz w:val="32"/>
          <w:szCs w:val="32"/>
          <w:u w:color="1C654D"/>
        </w:rPr>
        <w:t>教育收费项目及标准等信息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：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在财务办公室和学校饭堂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入口处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设立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“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东莞市高校教育收费公示栏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”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，对各类应收费、服务性收费、代收费的具体收费项目、收费标准和广东省物价局下发的批准文号进行公示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</w:t>
      </w:r>
      <w:r w:rsidRPr="00D2153B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明确告知学生公示栏内未列明的收费项目可以拒交，同时提供市物价局投诉电话、市教育局查询电话，切实维护学生的知情权，为学生监督学院的教育收费工作提供渠道。</w:t>
      </w:r>
    </w:p>
    <w:p w:rsidR="00C1227A" w:rsidRPr="00464C93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464C93">
        <w:rPr>
          <w:rFonts w:ascii="黑体" w:eastAsia="黑体" w:hAnsi="黑体" w:hint="eastAsia"/>
          <w:color w:val="000000"/>
          <w:sz w:val="32"/>
          <w:szCs w:val="32"/>
          <w:u w:color="1C654D"/>
        </w:rPr>
        <w:t>依申请公开和不予公开情况</w:t>
      </w:r>
    </w:p>
    <w:p w:rsidR="00C1227A" w:rsidRPr="008D119E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8D11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的信息公开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方式</w:t>
      </w:r>
      <w:r w:rsidRPr="008D11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以主动公开为主，依申请公开为辅。一年来，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8D11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办公室未收到要求公开信息的申请。</w:t>
      </w:r>
    </w:p>
    <w:p w:rsidR="00C1227A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CA7CC3">
        <w:rPr>
          <w:rFonts w:ascii="黑体" w:eastAsia="黑体" w:hAnsi="黑体" w:hint="eastAsia"/>
          <w:color w:val="000000"/>
          <w:sz w:val="32"/>
          <w:szCs w:val="32"/>
          <w:u w:color="1C654D"/>
        </w:rPr>
        <w:t>信息公开工作的评议情况</w:t>
      </w:r>
    </w:p>
    <w:p w:rsidR="00C1227A" w:rsidRPr="00CA7CC3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社会公众及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我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院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师生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员工</w:t>
      </w:r>
      <w:r w:rsidRPr="00CA7CC3">
        <w:rPr>
          <w:rFonts w:ascii="仿宋_GB2312" w:eastAsia="仿宋_GB2312" w:hAnsi="仿宋"/>
          <w:color w:val="000000"/>
          <w:sz w:val="32"/>
          <w:szCs w:val="32"/>
          <w:u w:color="1C654D"/>
        </w:rPr>
        <w:t>对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CA7CC3">
        <w:rPr>
          <w:rFonts w:ascii="仿宋_GB2312" w:eastAsia="仿宋_GB2312" w:hAnsi="仿宋"/>
          <w:color w:val="000000"/>
          <w:sz w:val="32"/>
          <w:szCs w:val="32"/>
          <w:u w:color="1C654D"/>
        </w:rPr>
        <w:t>信息公开工作给予支持和肯定，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对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CA7CC3">
        <w:rPr>
          <w:rFonts w:ascii="仿宋_GB2312" w:eastAsia="仿宋_GB2312" w:hAnsi="仿宋"/>
          <w:color w:val="000000"/>
          <w:sz w:val="32"/>
          <w:szCs w:val="32"/>
          <w:u w:color="1C654D"/>
        </w:rPr>
        <w:t>能及时地提供各种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>
        <w:rPr>
          <w:rFonts w:ascii="仿宋_GB2312" w:eastAsia="仿宋_GB2312" w:hAnsi="仿宋"/>
          <w:color w:val="000000"/>
          <w:sz w:val="32"/>
          <w:szCs w:val="32"/>
          <w:u w:color="1C654D"/>
        </w:rPr>
        <w:t>信息表示满意</w:t>
      </w:r>
      <w:r w:rsidRPr="00CA7CC3">
        <w:rPr>
          <w:rFonts w:ascii="仿宋_GB2312" w:eastAsia="仿宋_GB2312" w:hAnsi="仿宋"/>
          <w:color w:val="000000"/>
          <w:sz w:val="32"/>
          <w:szCs w:val="32"/>
          <w:u w:color="1C654D"/>
        </w:rPr>
        <w:t>。</w:t>
      </w:r>
    </w:p>
    <w:p w:rsidR="00C1227A" w:rsidRPr="008D119E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8D119E">
        <w:rPr>
          <w:rFonts w:ascii="黑体" w:eastAsia="黑体" w:hAnsi="黑体" w:hint="eastAsia"/>
          <w:color w:val="000000"/>
          <w:sz w:val="32"/>
          <w:szCs w:val="32"/>
          <w:u w:color="1C654D"/>
        </w:rPr>
        <w:t>因学校信息公开工作遭到举报的情况</w:t>
      </w:r>
    </w:p>
    <w:p w:rsidR="00C1227A" w:rsidRPr="008D119E" w:rsidRDefault="00C1227A" w:rsidP="00C1227A">
      <w:pPr>
        <w:ind w:left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 w:rsidRPr="008D11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本年度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8D119E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无因信息公开工作遭到举报的情况。</w:t>
      </w:r>
    </w:p>
    <w:p w:rsidR="00C1227A" w:rsidRPr="008D119E" w:rsidRDefault="00C1227A" w:rsidP="00C1227A">
      <w:pPr>
        <w:pStyle w:val="a9"/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  <w:u w:color="1C654D"/>
        </w:rPr>
      </w:pPr>
      <w:r w:rsidRPr="008D119E">
        <w:rPr>
          <w:rFonts w:ascii="黑体" w:eastAsia="黑体" w:hAnsi="黑体" w:hint="eastAsia"/>
          <w:color w:val="000000"/>
          <w:sz w:val="32"/>
          <w:szCs w:val="32"/>
          <w:u w:color="1C654D"/>
        </w:rPr>
        <w:t>存在的问题和改进措施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1.信息公开制度</w:t>
      </w:r>
      <w:r w:rsidRPr="00730E55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建设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有待加强。我院的信息工作制度建设还处于摸索阶段，相关制度建设有待加强，</w:t>
      </w:r>
      <w:r w:rsidRPr="00730E55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信息公开的内容、形式、程序、保密审查等方面还不够规范和系统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。需要进一步健全信息公开保障体系，促进学院信息公开工作的制度化及常态化。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2.信息公开速度有待提高。由于我院行政教辅队伍精简，没有配备专门的信息公开人员。行政教辅人员工作强度大，出现部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lastRenderedPageBreak/>
        <w:t>分部门信息公开不够及时的现象。我院将继续提高教职员工的信息公开意识，加强信息公开系统建设，提高信息的时效性。</w:t>
      </w:r>
    </w:p>
    <w:p w:rsidR="00C1227A" w:rsidRDefault="00C1227A" w:rsidP="00C1227A">
      <w:pPr>
        <w:ind w:firstLineChars="200" w:firstLine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3.信息公开意识有待加强。目前我院教职工整体信息公开意识还不够强，未能完全做到能公开的依法主动公开，不能公开的做好保密工作。进一步组织全院</w:t>
      </w:r>
      <w:r w:rsidRPr="00BB1E6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各部门认真开展党务校务信息公开有关法律法规和规章制度的学习、培训，进一步增强各部门对信息公开工作的重要性认识，不断提升</w:t>
      </w: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学院</w:t>
      </w:r>
      <w:r w:rsidRPr="00BB1E69"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信息公开整体工作水平。</w:t>
      </w:r>
    </w:p>
    <w:p w:rsidR="00C1227A" w:rsidRDefault="00702CD9" w:rsidP="00C1227A">
      <w:pPr>
        <w:ind w:left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u w:color="1C654D"/>
        </w:rPr>
        <w:t>特此报告</w:t>
      </w:r>
    </w:p>
    <w:p w:rsidR="00C1227A" w:rsidRDefault="00C1227A" w:rsidP="00C1227A">
      <w:pPr>
        <w:ind w:left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</w:p>
    <w:p w:rsidR="00702CD9" w:rsidRPr="001819D1" w:rsidRDefault="00702CD9" w:rsidP="00C1227A">
      <w:pPr>
        <w:ind w:left="633"/>
        <w:rPr>
          <w:rFonts w:ascii="仿宋_GB2312" w:eastAsia="仿宋_GB2312" w:hAnsi="仿宋"/>
          <w:color w:val="000000"/>
          <w:sz w:val="32"/>
          <w:szCs w:val="32"/>
          <w:u w:color="1C654D"/>
        </w:rPr>
      </w:pPr>
    </w:p>
    <w:p w:rsidR="00702CD9" w:rsidRPr="005E3584" w:rsidRDefault="00702CD9" w:rsidP="00702CD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东莞理工学院城市学院         </w:t>
      </w:r>
    </w:p>
    <w:p w:rsidR="00702CD9" w:rsidRDefault="00702CD9" w:rsidP="00702CD9">
      <w:pPr>
        <w:ind w:firstLine="645"/>
      </w:pPr>
      <w:r w:rsidRPr="005E3584">
        <w:rPr>
          <w:rFonts w:asci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>2013年10月</w:t>
      </w:r>
      <w:r>
        <w:rPr>
          <w:rFonts w:ascii="仿宋_GB2312" w:eastAsia="仿宋_GB2312" w:cs="仿宋_GB2312" w:hint="eastAsia"/>
          <w:sz w:val="32"/>
          <w:szCs w:val="32"/>
        </w:rPr>
        <w:t>29</w:t>
      </w:r>
      <w:r>
        <w:rPr>
          <w:rFonts w:ascii="仿宋_GB2312" w:eastAsia="仿宋_GB2312" w:cs="仿宋_GB2312"/>
          <w:sz w:val="32"/>
          <w:szCs w:val="32"/>
        </w:rPr>
        <w:t>日</w:t>
      </w:r>
    </w:p>
    <w:p w:rsidR="00702CD9" w:rsidRPr="00CB01F3" w:rsidRDefault="00702CD9" w:rsidP="00702CD9">
      <w:pPr>
        <w:ind w:rightChars="400" w:right="1105"/>
        <w:jc w:val="right"/>
        <w:rPr>
          <w:rFonts w:ascii="仿宋" w:eastAsia="仿宋" w:hAnsi="仿宋" w:cs="仿宋_GB2312"/>
          <w:spacing w:val="-20"/>
          <w:sz w:val="32"/>
          <w:szCs w:val="32"/>
        </w:rPr>
      </w:pPr>
    </w:p>
    <w:p w:rsidR="00702CD9" w:rsidRDefault="00702CD9" w:rsidP="00702CD9">
      <w:pPr>
        <w:ind w:rightChars="400" w:right="1105"/>
        <w:jc w:val="right"/>
        <w:rPr>
          <w:rFonts w:ascii="仿宋_GB2312" w:eastAsia="仿宋_GB2312" w:hAnsi="仿宋_GB2312" w:cs="仿宋_GB2312"/>
          <w:spacing w:val="-20"/>
          <w:sz w:val="32"/>
          <w:szCs w:val="32"/>
        </w:rPr>
      </w:pPr>
    </w:p>
    <w:p w:rsidR="00702CD9" w:rsidRDefault="00702CD9" w:rsidP="00702CD9">
      <w:pPr>
        <w:ind w:rightChars="400" w:right="1105"/>
        <w:jc w:val="right"/>
        <w:rPr>
          <w:rFonts w:ascii="仿宋_GB2312" w:eastAsia="仿宋_GB2312" w:hAnsi="仿宋_GB2312" w:cs="仿宋_GB2312"/>
          <w:spacing w:val="-20"/>
          <w:sz w:val="32"/>
          <w:szCs w:val="32"/>
        </w:rPr>
      </w:pPr>
    </w:p>
    <w:p w:rsidR="00C1227A" w:rsidRPr="00067897" w:rsidRDefault="00C1227A" w:rsidP="00C1227A">
      <w:pPr>
        <w:ind w:firstLineChars="200" w:firstLine="633"/>
        <w:rPr>
          <w:rFonts w:ascii="仿宋_GB2312" w:eastAsia="仿宋_GB2312" w:hAnsi="仿宋"/>
          <w:sz w:val="32"/>
          <w:szCs w:val="32"/>
        </w:rPr>
      </w:pPr>
    </w:p>
    <w:p w:rsidR="00C1227A" w:rsidRDefault="00C1227A" w:rsidP="00C1227A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C1227A" w:rsidRDefault="00C1227A" w:rsidP="00C1227A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C1227A" w:rsidRDefault="00C1227A" w:rsidP="00C1227A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C1227A" w:rsidRPr="00356BB7" w:rsidRDefault="00C1227A" w:rsidP="00C1227A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AC3424" w:rsidRPr="00BD4845" w:rsidRDefault="00AC3424" w:rsidP="005D3B5C">
      <w:pPr>
        <w:ind w:rightChars="400" w:right="1105"/>
        <w:jc w:val="right"/>
        <w:rPr>
          <w:rFonts w:ascii="仿宋_GB2312" w:eastAsia="仿宋_GB2312" w:hAnsi="仿宋_GB2312" w:cs="仿宋_GB2312"/>
          <w:spacing w:val="-20"/>
          <w:sz w:val="32"/>
          <w:szCs w:val="32"/>
        </w:rPr>
      </w:pPr>
    </w:p>
    <w:p w:rsidR="00053757" w:rsidRDefault="00053757" w:rsidP="00053757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053757" w:rsidRDefault="00053757" w:rsidP="00053757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053757" w:rsidRDefault="00053757" w:rsidP="00053757">
      <w:pPr>
        <w:spacing w:line="0" w:lineRule="atLeast"/>
        <w:rPr>
          <w:rFonts w:ascii="仿宋_GB2312" w:eastAsia="仿宋_GB2312"/>
          <w:sz w:val="2"/>
          <w:szCs w:val="2"/>
        </w:rPr>
      </w:pPr>
    </w:p>
    <w:p w:rsidR="00053757" w:rsidRPr="00356BB7" w:rsidRDefault="00FD4AC3" w:rsidP="00053757">
      <w:pPr>
        <w:spacing w:line="0" w:lineRule="atLeast"/>
        <w:rPr>
          <w:rFonts w:ascii="仿宋_GB2312" w:eastAsia="仿宋_GB2312"/>
          <w:sz w:val="2"/>
          <w:szCs w:val="2"/>
        </w:rPr>
      </w:pPr>
      <w:r w:rsidRPr="00FD4AC3">
        <w:rPr>
          <w:rFonts w:ascii="仿宋_GB2312" w:eastAsia="仿宋_GB2312" w:hAnsi="仿宋_GB2312" w:cs="仿宋_GB2312"/>
          <w:noProof/>
          <w:spacing w:val="-20"/>
          <w:sz w:val="32"/>
          <w:szCs w:val="32"/>
        </w:rPr>
        <w:pict>
          <v:shape id="_x0000_s1028" type="#_x0000_t202" style="position:absolute;margin-left:.6pt;margin-top:571pt;width:442.45pt;height:62.35pt;z-index:2516705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" strokecolor="window">
            <v:textbox>
              <w:txbxContent>
                <w:tbl>
                  <w:tblPr>
                    <w:tblStyle w:val="20"/>
                    <w:tblW w:w="8787" w:type="dxa"/>
                    <w:tblBorders>
                      <w:top w:val="single" w:sz="2" w:space="0" w:color="auto"/>
                      <w:left w:val="none" w:sz="0" w:space="0" w:color="auto"/>
                      <w:bottom w:val="single" w:sz="2" w:space="0" w:color="auto"/>
                      <w:right w:val="none" w:sz="0" w:space="0" w:color="auto"/>
                      <w:insideH w:val="single" w:sz="2" w:space="0" w:color="auto"/>
                      <w:insideV w:val="single" w:sz="2" w:space="0" w:color="auto"/>
                    </w:tblBorders>
                    <w:tblLook w:val="04A0"/>
                  </w:tblPr>
                  <w:tblGrid>
                    <w:gridCol w:w="8787"/>
                  </w:tblGrid>
                  <w:tr w:rsidR="005D3B5C" w:rsidTr="008B0B32">
                    <w:trPr>
                      <w:trHeight w:val="510"/>
                    </w:trPr>
                    <w:tc>
                      <w:tcPr>
                        <w:tcW w:w="8787" w:type="dxa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5D3B5C" w:rsidRPr="004E51F8" w:rsidRDefault="005D3B5C" w:rsidP="005D3B5C">
                        <w:pPr>
                          <w:spacing w:line="380" w:lineRule="exact"/>
                          <w:ind w:leftChars="100" w:left="276" w:rightChars="100" w:right="276"/>
                          <w:jc w:val="both"/>
                          <w:rPr>
                            <w:rFonts w:ascii="仿宋_GB2312" w:eastAsia="仿宋_GB2312" w:hAnsi="仿宋"/>
                            <w:sz w:val="32"/>
                            <w:szCs w:val="28"/>
                          </w:rPr>
                        </w:pPr>
                      </w:p>
                    </w:tc>
                  </w:tr>
                  <w:tr w:rsidR="005D3B5C" w:rsidTr="008B0B32">
                    <w:trPr>
                      <w:trHeight w:val="510"/>
                    </w:trPr>
                    <w:tc>
                      <w:tcPr>
                        <w:tcW w:w="878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5D3B5C" w:rsidRPr="004E51F8" w:rsidRDefault="005D3B5C" w:rsidP="00C1227A">
                        <w:pPr>
                          <w:spacing w:line="380" w:lineRule="exact"/>
                          <w:ind w:leftChars="100" w:left="276" w:rightChars="100" w:right="276"/>
                          <w:rPr>
                            <w:rFonts w:ascii="仿宋_GB2312" w:eastAsia="仿宋_GB2312" w:hAnsi="仿宋"/>
                            <w:sz w:val="32"/>
                            <w:szCs w:val="28"/>
                          </w:rPr>
                        </w:pPr>
                        <w:r w:rsidRPr="004E51F8">
                          <w:rPr>
                            <w:rFonts w:ascii="仿宋_GB2312" w:eastAsia="仿宋_GB2312" w:hAnsi="仿宋" w:hint="eastAsia"/>
                            <w:spacing w:val="-20"/>
                            <w:sz w:val="32"/>
                            <w:szCs w:val="28"/>
                          </w:rPr>
                          <w:t xml:space="preserve">东莞理工学院城市学院办公室      </w:t>
                        </w:r>
                        <w:r w:rsidR="00C1227A">
                          <w:rPr>
                            <w:rFonts w:ascii="仿宋_GB2312" w:eastAsia="仿宋_GB2312" w:hAnsi="仿宋" w:hint="eastAsia"/>
                            <w:spacing w:val="-20"/>
                            <w:sz w:val="32"/>
                            <w:szCs w:val="28"/>
                          </w:rPr>
                          <w:t xml:space="preserve">  </w:t>
                        </w:r>
                        <w:r w:rsidRPr="004E51F8">
                          <w:rPr>
                            <w:rFonts w:ascii="仿宋_GB2312" w:eastAsia="仿宋_GB2312" w:hAnsi="仿宋" w:hint="eastAsia"/>
                            <w:spacing w:val="-20"/>
                            <w:sz w:val="32"/>
                            <w:szCs w:val="28"/>
                          </w:rPr>
                          <w:t xml:space="preserve">   20</w:t>
                        </w:r>
                        <w:r w:rsidR="00C1227A">
                          <w:rPr>
                            <w:rFonts w:ascii="仿宋_GB2312" w:eastAsia="仿宋_GB2312" w:hAnsi="仿宋" w:hint="eastAsia"/>
                            <w:sz w:val="32"/>
                            <w:szCs w:val="28"/>
                          </w:rPr>
                          <w:t>13</w:t>
                        </w:r>
                        <w:r w:rsidRPr="004E51F8">
                          <w:rPr>
                            <w:rFonts w:ascii="仿宋_GB2312" w:eastAsia="仿宋_GB2312" w:hAnsi="仿宋" w:cs="仿宋_GB2312" w:hint="eastAsia"/>
                            <w:spacing w:val="-20"/>
                            <w:sz w:val="32"/>
                            <w:szCs w:val="28"/>
                          </w:rPr>
                          <w:t>年</w:t>
                        </w:r>
                        <w:r w:rsidR="00C1227A">
                          <w:rPr>
                            <w:rFonts w:ascii="仿宋_GB2312" w:eastAsia="仿宋_GB2312" w:hAnsi="仿宋" w:hint="eastAsia"/>
                            <w:sz w:val="32"/>
                            <w:szCs w:val="28"/>
                          </w:rPr>
                          <w:t>10</w:t>
                        </w:r>
                        <w:r w:rsidRPr="004E51F8">
                          <w:rPr>
                            <w:rFonts w:ascii="仿宋_GB2312" w:eastAsia="仿宋_GB2312" w:hAnsi="仿宋" w:cs="仿宋_GB2312" w:hint="eastAsia"/>
                            <w:spacing w:val="-20"/>
                            <w:sz w:val="32"/>
                            <w:szCs w:val="28"/>
                          </w:rPr>
                          <w:t>月</w:t>
                        </w:r>
                        <w:r w:rsidR="00C1227A">
                          <w:rPr>
                            <w:rFonts w:ascii="仿宋_GB2312" w:eastAsia="仿宋_GB2312" w:hAnsi="仿宋" w:hint="eastAsia"/>
                            <w:sz w:val="32"/>
                            <w:szCs w:val="28"/>
                          </w:rPr>
                          <w:t>29</w:t>
                        </w:r>
                        <w:r w:rsidRPr="004E51F8">
                          <w:rPr>
                            <w:rFonts w:ascii="仿宋_GB2312" w:eastAsia="仿宋_GB2312" w:hAnsi="仿宋" w:cs="仿宋_GB2312" w:hint="eastAsia"/>
                            <w:spacing w:val="-20"/>
                            <w:sz w:val="32"/>
                            <w:szCs w:val="28"/>
                          </w:rPr>
                          <w:t>日印发</w:t>
                        </w:r>
                      </w:p>
                    </w:tc>
                  </w:tr>
                </w:tbl>
                <w:p w:rsidR="005D3B5C" w:rsidRDefault="005D3B5C" w:rsidP="005D3B5C"/>
              </w:txbxContent>
            </v:textbox>
            <w10:wrap type="square" anchorx="margin" anchory="margin"/>
          </v:shape>
        </w:pict>
      </w:r>
    </w:p>
    <w:sectPr w:rsidR="00053757" w:rsidRPr="00356BB7" w:rsidSect="0051601B">
      <w:footerReference w:type="even" r:id="rId7"/>
      <w:footerReference w:type="default" r:id="rId8"/>
      <w:pgSz w:w="11906" w:h="16838" w:code="9"/>
      <w:pgMar w:top="2155" w:right="1474" w:bottom="1985" w:left="1588" w:header="851" w:footer="1587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EB" w:rsidRDefault="001F2FEB" w:rsidP="000F379F">
      <w:r>
        <w:separator/>
      </w:r>
    </w:p>
  </w:endnote>
  <w:endnote w:type="continuationSeparator" w:id="0">
    <w:p w:rsidR="001F2FEB" w:rsidRDefault="001F2FEB" w:rsidP="000F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pacing w:val="316"/>
      </w:rPr>
      <w:id w:val="1141305485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0F379F" w:rsidRPr="000F379F" w:rsidRDefault="00FD4AC3" w:rsidP="0051601B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0F379F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7D4BBF" w:rsidRPr="007D4BBF">
          <w:rPr>
            <w:noProof/>
            <w:sz w:val="28"/>
            <w:szCs w:val="28"/>
            <w:lang w:val="zh-CN"/>
          </w:rPr>
          <w:t>-</w:t>
        </w:r>
        <w:r w:rsidR="007D4BBF">
          <w:rPr>
            <w:noProof/>
            <w:sz w:val="28"/>
            <w:szCs w:val="28"/>
          </w:rPr>
          <w:t xml:space="preserve"> 2 -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7947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F379F" w:rsidRPr="000F379F" w:rsidRDefault="00FD4AC3" w:rsidP="0051601B">
        <w:pPr>
          <w:pStyle w:val="af3"/>
          <w:ind w:rightChars="100" w:right="280"/>
          <w:jc w:val="right"/>
          <w:rPr>
            <w:sz w:val="28"/>
            <w:szCs w:val="28"/>
          </w:rPr>
        </w:pPr>
        <w:r w:rsidRPr="000A0FD6">
          <w:rPr>
            <w:sz w:val="28"/>
            <w:szCs w:val="28"/>
          </w:rPr>
          <w:fldChar w:fldCharType="begin"/>
        </w:r>
        <w:r w:rsidR="000A0FD6" w:rsidRPr="000A0FD6">
          <w:rPr>
            <w:sz w:val="28"/>
            <w:szCs w:val="28"/>
          </w:rPr>
          <w:instrText>PAGE   \* MERGEFORMAT</w:instrText>
        </w:r>
        <w:r w:rsidRPr="000A0FD6">
          <w:rPr>
            <w:sz w:val="28"/>
            <w:szCs w:val="28"/>
          </w:rPr>
          <w:fldChar w:fldCharType="separate"/>
        </w:r>
        <w:r w:rsidR="007D4BBF" w:rsidRPr="007D4BBF">
          <w:rPr>
            <w:noProof/>
            <w:sz w:val="28"/>
            <w:szCs w:val="28"/>
            <w:lang w:val="zh-CN"/>
          </w:rPr>
          <w:t>-</w:t>
        </w:r>
        <w:r w:rsidR="007D4BBF">
          <w:rPr>
            <w:noProof/>
            <w:sz w:val="28"/>
            <w:szCs w:val="28"/>
          </w:rPr>
          <w:t xml:space="preserve"> 3 -</w:t>
        </w:r>
        <w:r w:rsidRPr="000A0FD6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EB" w:rsidRDefault="001F2FEB" w:rsidP="000F379F">
      <w:r>
        <w:separator/>
      </w:r>
    </w:p>
  </w:footnote>
  <w:footnote w:type="continuationSeparator" w:id="0">
    <w:p w:rsidR="001F2FEB" w:rsidRDefault="001F2FEB" w:rsidP="000F3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2B0"/>
    <w:multiLevelType w:val="hybridMultilevel"/>
    <w:tmpl w:val="83B2D716"/>
    <w:lvl w:ilvl="0" w:tplc="BAF26B66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65D2D9A"/>
    <w:multiLevelType w:val="hybridMultilevel"/>
    <w:tmpl w:val="1BF4C040"/>
    <w:lvl w:ilvl="0" w:tplc="0EB206A4">
      <w:start w:val="1"/>
      <w:numFmt w:val="japaneseCounting"/>
      <w:lvlText w:val="%1、"/>
      <w:lvlJc w:val="left"/>
      <w:pPr>
        <w:ind w:left="13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2">
    <w:nsid w:val="6C4A221F"/>
    <w:multiLevelType w:val="hybridMultilevel"/>
    <w:tmpl w:val="A66AB596"/>
    <w:lvl w:ilvl="0" w:tplc="4502B942">
      <w:start w:val="1"/>
      <w:numFmt w:val="japaneseCounting"/>
      <w:lvlText w:val="（%1）"/>
      <w:lvlJc w:val="left"/>
      <w:pPr>
        <w:ind w:left="171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bordersDoNotSurroundHeader/>
  <w:bordersDoNotSurroundFooter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69F"/>
    <w:rsid w:val="00014D95"/>
    <w:rsid w:val="000167AB"/>
    <w:rsid w:val="000526B4"/>
    <w:rsid w:val="00053757"/>
    <w:rsid w:val="000538A2"/>
    <w:rsid w:val="00056DB3"/>
    <w:rsid w:val="00071AC7"/>
    <w:rsid w:val="00095E85"/>
    <w:rsid w:val="000A0FD6"/>
    <w:rsid w:val="000C3917"/>
    <w:rsid w:val="000F379F"/>
    <w:rsid w:val="00137F99"/>
    <w:rsid w:val="0016339A"/>
    <w:rsid w:val="0016791A"/>
    <w:rsid w:val="001B6B93"/>
    <w:rsid w:val="001E26FE"/>
    <w:rsid w:val="001F2FEB"/>
    <w:rsid w:val="0026701B"/>
    <w:rsid w:val="00286B50"/>
    <w:rsid w:val="002B4F9E"/>
    <w:rsid w:val="00310035"/>
    <w:rsid w:val="00316185"/>
    <w:rsid w:val="00351425"/>
    <w:rsid w:val="00357CB4"/>
    <w:rsid w:val="003A17D3"/>
    <w:rsid w:val="003A3990"/>
    <w:rsid w:val="003B4C9D"/>
    <w:rsid w:val="003C3468"/>
    <w:rsid w:val="003D6560"/>
    <w:rsid w:val="0044396C"/>
    <w:rsid w:val="004D1666"/>
    <w:rsid w:val="004E4724"/>
    <w:rsid w:val="0051601B"/>
    <w:rsid w:val="005657DE"/>
    <w:rsid w:val="005C32B9"/>
    <w:rsid w:val="005D3B5C"/>
    <w:rsid w:val="005F1C7C"/>
    <w:rsid w:val="00646CA3"/>
    <w:rsid w:val="00653ED8"/>
    <w:rsid w:val="00664C46"/>
    <w:rsid w:val="00684D25"/>
    <w:rsid w:val="006C22CF"/>
    <w:rsid w:val="006D4755"/>
    <w:rsid w:val="00702CD9"/>
    <w:rsid w:val="007B35E9"/>
    <w:rsid w:val="007D4BBF"/>
    <w:rsid w:val="007F5063"/>
    <w:rsid w:val="00831365"/>
    <w:rsid w:val="008656D2"/>
    <w:rsid w:val="008B4EBF"/>
    <w:rsid w:val="009967C2"/>
    <w:rsid w:val="009E0F88"/>
    <w:rsid w:val="00A07932"/>
    <w:rsid w:val="00A23E38"/>
    <w:rsid w:val="00A944E1"/>
    <w:rsid w:val="00A96B95"/>
    <w:rsid w:val="00AC3424"/>
    <w:rsid w:val="00B23C10"/>
    <w:rsid w:val="00B30078"/>
    <w:rsid w:val="00B72CB8"/>
    <w:rsid w:val="00BA01B4"/>
    <w:rsid w:val="00BC7985"/>
    <w:rsid w:val="00BE31C2"/>
    <w:rsid w:val="00C1227A"/>
    <w:rsid w:val="00C43E87"/>
    <w:rsid w:val="00CB01F3"/>
    <w:rsid w:val="00D05231"/>
    <w:rsid w:val="00D131B3"/>
    <w:rsid w:val="00D1569F"/>
    <w:rsid w:val="00D268A2"/>
    <w:rsid w:val="00D3334F"/>
    <w:rsid w:val="00D519C0"/>
    <w:rsid w:val="00D74F6C"/>
    <w:rsid w:val="00DA7E1F"/>
    <w:rsid w:val="00DE1EF1"/>
    <w:rsid w:val="00E2320D"/>
    <w:rsid w:val="00E26243"/>
    <w:rsid w:val="00E312C9"/>
    <w:rsid w:val="00E5448E"/>
    <w:rsid w:val="00E702C3"/>
    <w:rsid w:val="00E7044B"/>
    <w:rsid w:val="00E81522"/>
    <w:rsid w:val="00ED5225"/>
    <w:rsid w:val="00EF6C4D"/>
    <w:rsid w:val="00EF7789"/>
    <w:rsid w:val="00F17AD7"/>
    <w:rsid w:val="00F201B8"/>
    <w:rsid w:val="00FA641A"/>
    <w:rsid w:val="00FB10D4"/>
    <w:rsid w:val="00FB171C"/>
    <w:rsid w:val="00F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f1"/>
    <w:uiPriority w:val="59"/>
    <w:rsid w:val="00EF6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table" w:customStyle="1" w:styleId="20">
    <w:name w:val="网格型2"/>
    <w:basedOn w:val="a1"/>
    <w:next w:val="af1"/>
    <w:uiPriority w:val="59"/>
    <w:rsid w:val="005D3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USER</cp:lastModifiedBy>
  <cp:revision>5</cp:revision>
  <cp:lastPrinted>2013-10-29T07:42:00Z</cp:lastPrinted>
  <dcterms:created xsi:type="dcterms:W3CDTF">2013-10-29T07:13:00Z</dcterms:created>
  <dcterms:modified xsi:type="dcterms:W3CDTF">2013-10-30T02:48:00Z</dcterms:modified>
</cp:coreProperties>
</file>